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82CB7" w14:textId="77777777" w:rsidR="00F73C15" w:rsidRPr="00F73C15" w:rsidRDefault="00F73C15" w:rsidP="00F73C15">
      <w:pPr>
        <w:shd w:val="clear" w:color="auto" w:fill="FFFFFF"/>
        <w:spacing w:after="180" w:line="240" w:lineRule="atLeast"/>
        <w:textAlignment w:val="baseline"/>
        <w:outlineLvl w:val="0"/>
        <w:rPr>
          <w:rFonts w:ascii="Source Sans Pro" w:eastAsia="Times New Roman" w:hAnsi="Source Sans Pro" w:cs="Times New Roman"/>
          <w:b/>
          <w:bCs/>
          <w:color w:val="333333"/>
          <w:kern w:val="36"/>
          <w:sz w:val="30"/>
          <w:szCs w:val="30"/>
          <w:lang w:eastAsia="it-IT"/>
          <w14:ligatures w14:val="none"/>
        </w:rPr>
      </w:pPr>
      <w:r w:rsidRPr="00F73C15">
        <w:rPr>
          <w:rFonts w:ascii="Source Sans Pro" w:eastAsia="Times New Roman" w:hAnsi="Source Sans Pro" w:cs="Times New Roman"/>
          <w:b/>
          <w:bCs/>
          <w:color w:val="333333"/>
          <w:kern w:val="36"/>
          <w:sz w:val="30"/>
          <w:szCs w:val="30"/>
          <w:lang w:eastAsia="it-IT"/>
          <w14:ligatures w14:val="none"/>
        </w:rPr>
        <w:t>INL: Patente a crediti – le Faq</w:t>
      </w:r>
    </w:p>
    <w:p w14:paraId="29D85222" w14:textId="77777777" w:rsidR="00F73C15" w:rsidRPr="00F73C15" w:rsidRDefault="00F73C15" w:rsidP="00F73C15">
      <w:pPr>
        <w:shd w:val="clear" w:color="auto" w:fill="FFFFFF"/>
        <w:spacing w:after="0" w:line="300" w:lineRule="atLeast"/>
        <w:textAlignment w:val="baseline"/>
        <w:rPr>
          <w:rFonts w:ascii="Source Sans Pro" w:eastAsia="Times New Roman" w:hAnsi="Source Sans Pro" w:cs="Times New Roman"/>
          <w:color w:val="333333"/>
          <w:kern w:val="0"/>
          <w:sz w:val="21"/>
          <w:szCs w:val="21"/>
          <w:lang w:eastAsia="it-IT"/>
          <w14:ligatures w14:val="none"/>
        </w:rPr>
      </w:pPr>
      <w:r w:rsidRPr="00F73C15">
        <w:rPr>
          <w:rFonts w:ascii="Source Sans Pro" w:eastAsia="Times New Roman" w:hAnsi="Source Sans Pro" w:cs="Times New Roman"/>
          <w:color w:val="333333"/>
          <w:kern w:val="0"/>
          <w:sz w:val="21"/>
          <w:szCs w:val="21"/>
          <w:lang w:eastAsia="it-IT"/>
          <w14:ligatures w14:val="none"/>
        </w:rPr>
        <w:t>Pubblicato il 7 Ott 2024</w:t>
      </w:r>
    </w:p>
    <w:p w14:paraId="6AD39A52" w14:textId="77777777" w:rsidR="00F73C15" w:rsidRPr="00F73C15" w:rsidRDefault="00F73C15" w:rsidP="00F73C15">
      <w:pPr>
        <w:spacing w:after="0" w:line="300" w:lineRule="atLeast"/>
        <w:jc w:val="both"/>
        <w:textAlignment w:val="baseline"/>
        <w:rPr>
          <w:rFonts w:ascii="Source Sans Pro" w:eastAsia="Times New Roman" w:hAnsi="Source Sans Pro" w:cs="Times New Roman"/>
          <w:color w:val="333333"/>
          <w:kern w:val="0"/>
          <w:sz w:val="21"/>
          <w:szCs w:val="21"/>
          <w:lang w:eastAsia="it-IT"/>
          <w14:ligatures w14:val="none"/>
        </w:rPr>
      </w:pPr>
      <w:r w:rsidRPr="00F73C15">
        <w:rPr>
          <w:rFonts w:ascii="Source Sans Pro" w:eastAsia="Times New Roman" w:hAnsi="Source Sans Pro" w:cs="Times New Roman"/>
          <w:noProof/>
          <w:color w:val="333333"/>
          <w:kern w:val="0"/>
          <w:sz w:val="21"/>
          <w:szCs w:val="21"/>
          <w:lang w:eastAsia="it-IT"/>
          <w14:ligatures w14:val="none"/>
        </w:rPr>
        <w:drawing>
          <wp:inline distT="0" distB="0" distL="0" distR="0" wp14:anchorId="5D475AE2" wp14:editId="7FC47AED">
            <wp:extent cx="1238250" cy="1238250"/>
            <wp:effectExtent l="0" t="0" r="0" b="0"/>
            <wp:docPr id="2" name="Immagine 1" descr="Immagine che contiene logo, simbolo, Elementi grafici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 descr="Immagine che contiene logo, simbolo, Elementi grafici, design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3C15">
        <w:rPr>
          <w:rFonts w:ascii="Source Sans Pro" w:eastAsia="Times New Roman" w:hAnsi="Source Sans Pro" w:cs="Times New Roman"/>
          <w:color w:val="333333"/>
          <w:kern w:val="0"/>
          <w:sz w:val="21"/>
          <w:szCs w:val="21"/>
          <w:lang w:eastAsia="it-IT"/>
          <w14:ligatures w14:val="none"/>
        </w:rPr>
        <w:t>L’Ispettorato Nazionale del Lavoro (INL) ha pubblicato, in data 4 ottobre 2024, le prime </w:t>
      </w:r>
      <w:r w:rsidRPr="00F73C15">
        <w:rPr>
          <w:rFonts w:ascii="Source Sans Pro" w:eastAsia="Times New Roman" w:hAnsi="Source Sans Pro" w:cs="Times New Roman"/>
          <w:b/>
          <w:bCs/>
          <w:color w:val="1C1C1C"/>
          <w:kern w:val="0"/>
          <w:sz w:val="21"/>
          <w:szCs w:val="21"/>
          <w:bdr w:val="none" w:sz="0" w:space="0" w:color="auto" w:frame="1"/>
          <w:lang w:eastAsia="it-IT"/>
          <w14:ligatures w14:val="none"/>
        </w:rPr>
        <w:t>FAQ  sulla Patente a crediti</w:t>
      </w:r>
      <w:r w:rsidRPr="00F73C15">
        <w:rPr>
          <w:rFonts w:ascii="Source Sans Pro" w:eastAsia="Times New Roman" w:hAnsi="Source Sans Pro" w:cs="Times New Roman"/>
          <w:color w:val="333333"/>
          <w:kern w:val="0"/>
          <w:sz w:val="21"/>
          <w:szCs w:val="21"/>
          <w:lang w:eastAsia="it-IT"/>
          <w14:ligatures w14:val="none"/>
        </w:rPr>
        <w:t>.</w:t>
      </w:r>
    </w:p>
    <w:p w14:paraId="52D42FED" w14:textId="77777777" w:rsidR="00F73C15" w:rsidRPr="00F73C15" w:rsidRDefault="00F73C15" w:rsidP="00F73C15">
      <w:pPr>
        <w:spacing w:after="0" w:line="300" w:lineRule="atLeast"/>
        <w:jc w:val="both"/>
        <w:textAlignment w:val="baseline"/>
        <w:rPr>
          <w:rFonts w:ascii="Source Sans Pro" w:eastAsia="Times New Roman" w:hAnsi="Source Sans Pro" w:cs="Times New Roman"/>
          <w:color w:val="333333"/>
          <w:kern w:val="0"/>
          <w:sz w:val="21"/>
          <w:szCs w:val="21"/>
          <w:lang w:eastAsia="it-IT"/>
          <w14:ligatures w14:val="none"/>
        </w:rPr>
      </w:pPr>
      <w:r w:rsidRPr="00F73C15">
        <w:rPr>
          <w:rFonts w:ascii="Source Sans Pro" w:eastAsia="Times New Roman" w:hAnsi="Source Sans Pro" w:cs="Times New Roman"/>
          <w:color w:val="333333"/>
          <w:kern w:val="0"/>
          <w:sz w:val="21"/>
          <w:szCs w:val="21"/>
          <w:lang w:eastAsia="it-IT"/>
          <w14:ligatures w14:val="none"/>
        </w:rPr>
        <w:t> </w:t>
      </w:r>
    </w:p>
    <w:p w14:paraId="313F85EB" w14:textId="77777777" w:rsidR="00F73C15" w:rsidRPr="00F73C15" w:rsidRDefault="00F73C15" w:rsidP="00F73C15">
      <w:pPr>
        <w:spacing w:after="0" w:line="300" w:lineRule="atLeast"/>
        <w:jc w:val="both"/>
        <w:textAlignment w:val="baseline"/>
        <w:rPr>
          <w:rFonts w:ascii="Source Sans Pro" w:eastAsia="Times New Roman" w:hAnsi="Source Sans Pro" w:cs="Times New Roman"/>
          <w:color w:val="333333"/>
          <w:kern w:val="0"/>
          <w:sz w:val="21"/>
          <w:szCs w:val="21"/>
          <w:lang w:eastAsia="it-IT"/>
          <w14:ligatures w14:val="none"/>
        </w:rPr>
      </w:pPr>
      <w:r w:rsidRPr="00F73C15">
        <w:rPr>
          <w:rFonts w:ascii="Source Sans Pro" w:eastAsia="Times New Roman" w:hAnsi="Source Sans Pro" w:cs="Times New Roman"/>
          <w:b/>
          <w:bCs/>
          <w:color w:val="1C1C1C"/>
          <w:kern w:val="0"/>
          <w:sz w:val="21"/>
          <w:szCs w:val="21"/>
          <w:bdr w:val="none" w:sz="0" w:space="0" w:color="auto" w:frame="1"/>
          <w:lang w:eastAsia="it-IT"/>
          <w14:ligatures w14:val="none"/>
        </w:rPr>
        <w:t>FAQ – 4 ottobre 2024</w:t>
      </w:r>
    </w:p>
    <w:p w14:paraId="16F35F23" w14:textId="77777777" w:rsidR="00F73C15" w:rsidRDefault="00F73C15" w:rsidP="00F73C15">
      <w:pPr>
        <w:spacing w:after="0" w:line="300" w:lineRule="atLeast"/>
        <w:jc w:val="both"/>
        <w:textAlignment w:val="baseline"/>
        <w:rPr>
          <w:rFonts w:ascii="Source Sans Pro" w:eastAsia="Times New Roman" w:hAnsi="Source Sans Pro" w:cs="Times New Roman"/>
          <w:b/>
          <w:bCs/>
          <w:color w:val="1C1C1C"/>
          <w:kern w:val="0"/>
          <w:sz w:val="21"/>
          <w:szCs w:val="21"/>
          <w:bdr w:val="none" w:sz="0" w:space="0" w:color="auto" w:frame="1"/>
          <w:lang w:eastAsia="it-IT"/>
          <w14:ligatures w14:val="none"/>
        </w:rPr>
      </w:pPr>
      <w:r w:rsidRPr="00F73C15">
        <w:rPr>
          <w:rFonts w:ascii="Source Sans Pro" w:eastAsia="Times New Roman" w:hAnsi="Source Sans Pro" w:cs="Times New Roman"/>
          <w:b/>
          <w:bCs/>
          <w:color w:val="1C1C1C"/>
          <w:kern w:val="0"/>
          <w:sz w:val="21"/>
          <w:szCs w:val="21"/>
          <w:bdr w:val="none" w:sz="0" w:space="0" w:color="auto" w:frame="1"/>
          <w:lang w:eastAsia="it-IT"/>
          <w14:ligatures w14:val="none"/>
        </w:rPr>
        <w:t>1) La circ. n. 4/2024 stabilisce la possibilità di trasmettere, in una prima fase, una autocertificazione/dichiarazione sostitutiva concernente il possesso dei requisiti richiesti per il rilascio della patente e che “la trasmissione della autocertificazione/dichiarazione sostitutiva inviata mediante PEC ha efficacia fino alla data del 31 ottobre 2024 e vincola l’operatore a presentare la domanda per il rilascio della patente mediante il portale dell’Ispettorato nazionale del lavoro entro la medesima data”. Fino a quando è possibile presentare l’autocertificazione/dichiarazione sostitutiva?</w:t>
      </w:r>
    </w:p>
    <w:p w14:paraId="6D0154A5" w14:textId="46EA309B" w:rsidR="00F73C15" w:rsidRPr="00F73C15" w:rsidRDefault="00F73C15" w:rsidP="00F73C15">
      <w:pPr>
        <w:spacing w:after="0" w:line="300" w:lineRule="atLeast"/>
        <w:jc w:val="both"/>
        <w:textAlignment w:val="baseline"/>
        <w:rPr>
          <w:rFonts w:ascii="Source Sans Pro" w:eastAsia="Times New Roman" w:hAnsi="Source Sans Pro" w:cs="Times New Roman"/>
          <w:color w:val="333333"/>
          <w:kern w:val="0"/>
          <w:sz w:val="21"/>
          <w:szCs w:val="21"/>
          <w:lang w:eastAsia="it-IT"/>
          <w14:ligatures w14:val="none"/>
        </w:rPr>
      </w:pPr>
      <w:r w:rsidRPr="00F73C15">
        <w:rPr>
          <w:rFonts w:ascii="Source Sans Pro" w:eastAsia="Times New Roman" w:hAnsi="Source Sans Pro" w:cs="Times New Roman"/>
          <w:color w:val="333333"/>
          <w:kern w:val="0"/>
          <w:sz w:val="21"/>
          <w:szCs w:val="21"/>
          <w:lang w:eastAsia="it-IT"/>
          <w14:ligatures w14:val="none"/>
        </w:rPr>
        <w:t>L’invio tramite PEC all’indirizzo dichiarazionepatente@pec.ispettorato.gov.it</w:t>
      </w:r>
      <w:r>
        <w:rPr>
          <w:rFonts w:ascii="Source Sans Pro" w:eastAsia="Times New Roman" w:hAnsi="Source Sans Pro" w:cs="Times New Roman"/>
          <w:color w:val="333333"/>
          <w:kern w:val="0"/>
          <w:sz w:val="21"/>
          <w:szCs w:val="21"/>
          <w:lang w:eastAsia="it-IT"/>
          <w14:ligatures w14:val="none"/>
        </w:rPr>
        <w:t xml:space="preserve"> </w:t>
      </w:r>
      <w:r w:rsidRPr="00F73C15">
        <w:rPr>
          <w:rFonts w:ascii="Source Sans Pro" w:eastAsia="Times New Roman" w:hAnsi="Source Sans Pro" w:cs="Times New Roman"/>
          <w:color w:val="333333"/>
          <w:kern w:val="0"/>
          <w:sz w:val="21"/>
          <w:szCs w:val="21"/>
          <w:lang w:eastAsia="it-IT"/>
          <w14:ligatures w14:val="none"/>
        </w:rPr>
        <w:t>della autocertificazione/dichiarazione sostitutiva è un adempimento che va effettuato dalle imprese e dai lavoratori autonomi che al 1° ottobre 2024 stiano già operando in cantieri temporanei o mobili.</w:t>
      </w:r>
      <w:r w:rsidRPr="00F73C15">
        <w:rPr>
          <w:rFonts w:ascii="Source Sans Pro" w:eastAsia="Times New Roman" w:hAnsi="Source Sans Pro" w:cs="Times New Roman"/>
          <w:color w:val="333333"/>
          <w:kern w:val="0"/>
          <w:sz w:val="21"/>
          <w:szCs w:val="21"/>
          <w:lang w:eastAsia="it-IT"/>
          <w14:ligatures w14:val="none"/>
        </w:rPr>
        <w:br/>
        <w:t>Pertanto, se alla data del 1° ottobre i soggetti interessati non stiano operando presso alcun cantiere, non sono tenuti all’invio della PEC. L’autocertificazione/dichiarazione sostitutiva non è inoltre necessaria se nella stessa giornata del 1° ottobre – data a partire dalla quale entra in funzione il portale realizzato per il rilascio della patente a crediti – le imprese ed i lavoratori autonomi che già operano in cantiere facciano richiesta della patente tramite il medesimo portale. In altri termini, la presenza in cantiere di imprese e lavoratori autonomi deve essere sempre preceduta dall’invio della autocertificazione/dichiarazione sostitutiva o dalla richiesta della patente tramite portale, tenendo presente che a partire dal 1° novembre l’operatività in cantiere sarà ammessa  esclusivamente per le imprese ed i lavoratori autonomi che abbiano fatto richiesta della patente tramite portale.</w:t>
      </w:r>
    </w:p>
    <w:p w14:paraId="055B00AB" w14:textId="77777777" w:rsidR="00F73C15" w:rsidRDefault="00F73C15" w:rsidP="00F73C15">
      <w:pPr>
        <w:spacing w:after="0" w:line="300" w:lineRule="atLeast"/>
        <w:jc w:val="both"/>
        <w:textAlignment w:val="baseline"/>
        <w:rPr>
          <w:rFonts w:ascii="Source Sans Pro" w:eastAsia="Times New Roman" w:hAnsi="Source Sans Pro" w:cs="Times New Roman"/>
          <w:b/>
          <w:bCs/>
          <w:color w:val="1C1C1C"/>
          <w:kern w:val="0"/>
          <w:sz w:val="21"/>
          <w:szCs w:val="21"/>
          <w:bdr w:val="none" w:sz="0" w:space="0" w:color="auto" w:frame="1"/>
          <w:lang w:eastAsia="it-IT"/>
          <w14:ligatures w14:val="none"/>
        </w:rPr>
      </w:pPr>
    </w:p>
    <w:p w14:paraId="6038D9CB" w14:textId="56408C80" w:rsidR="00F73C15" w:rsidRDefault="00F73C15" w:rsidP="00F73C15">
      <w:pPr>
        <w:spacing w:after="0" w:line="300" w:lineRule="atLeast"/>
        <w:jc w:val="both"/>
        <w:textAlignment w:val="baseline"/>
        <w:rPr>
          <w:rFonts w:ascii="Source Sans Pro" w:eastAsia="Times New Roman" w:hAnsi="Source Sans Pro" w:cs="Times New Roman"/>
          <w:b/>
          <w:bCs/>
          <w:color w:val="1C1C1C"/>
          <w:kern w:val="0"/>
          <w:sz w:val="21"/>
          <w:szCs w:val="21"/>
          <w:bdr w:val="none" w:sz="0" w:space="0" w:color="auto" w:frame="1"/>
          <w:lang w:eastAsia="it-IT"/>
          <w14:ligatures w14:val="none"/>
        </w:rPr>
      </w:pPr>
      <w:r w:rsidRPr="00F73C15">
        <w:rPr>
          <w:rFonts w:ascii="Source Sans Pro" w:eastAsia="Times New Roman" w:hAnsi="Source Sans Pro" w:cs="Times New Roman"/>
          <w:b/>
          <w:bCs/>
          <w:color w:val="1C1C1C"/>
          <w:kern w:val="0"/>
          <w:sz w:val="21"/>
          <w:szCs w:val="21"/>
          <w:bdr w:val="none" w:sz="0" w:space="0" w:color="auto" w:frame="1"/>
          <w:lang w:eastAsia="it-IT"/>
          <w14:ligatures w14:val="none"/>
        </w:rPr>
        <w:t>2) La norma non indica la categoria di SOA di cui dev’essere in possesso l’azienda per essere esclusa dall’obbligo di possedere la patente a crediti. Si chiede di conoscere se la categoria della SOA resta irrilevante, avendo la norma precisato esclusivamente la classificazione. </w:t>
      </w:r>
    </w:p>
    <w:p w14:paraId="67193AB2" w14:textId="0008375D" w:rsidR="00F73C15" w:rsidRPr="00F73C15" w:rsidRDefault="00F73C15" w:rsidP="00F73C15">
      <w:pPr>
        <w:spacing w:after="0" w:line="300" w:lineRule="atLeast"/>
        <w:jc w:val="both"/>
        <w:textAlignment w:val="baseline"/>
        <w:rPr>
          <w:rFonts w:ascii="Source Sans Pro" w:eastAsia="Times New Roman" w:hAnsi="Source Sans Pro" w:cs="Times New Roman"/>
          <w:color w:val="333333"/>
          <w:kern w:val="0"/>
          <w:sz w:val="21"/>
          <w:szCs w:val="21"/>
          <w:lang w:eastAsia="it-IT"/>
          <w14:ligatures w14:val="none"/>
        </w:rPr>
      </w:pPr>
      <w:r w:rsidRPr="00F73C15">
        <w:rPr>
          <w:rFonts w:ascii="Source Sans Pro" w:eastAsia="Times New Roman" w:hAnsi="Source Sans Pro" w:cs="Times New Roman"/>
          <w:color w:val="333333"/>
          <w:kern w:val="0"/>
          <w:sz w:val="21"/>
          <w:szCs w:val="21"/>
          <w:lang w:eastAsia="it-IT"/>
          <w14:ligatures w14:val="none"/>
        </w:rPr>
        <w:t>Come indicato nella circolare 4/2024 dell’INL, il legislatore esclude dall’ambito applicativo della patente a crediti le imprese in possesso dell’attestazione di qualificazione SOA, in classifica pari o superiore alla III, di cui all’art. 100, comma 4, del D.Lgs. n. 36/2023 a prescindere dalla categoria di appartenenza.</w:t>
      </w:r>
    </w:p>
    <w:p w14:paraId="0AB29352" w14:textId="77777777" w:rsidR="00F73C15" w:rsidRDefault="00F73C15" w:rsidP="00F73C15">
      <w:pPr>
        <w:spacing w:after="0" w:line="300" w:lineRule="atLeast"/>
        <w:jc w:val="both"/>
        <w:textAlignment w:val="baseline"/>
        <w:rPr>
          <w:rFonts w:ascii="Source Sans Pro" w:eastAsia="Times New Roman" w:hAnsi="Source Sans Pro" w:cs="Times New Roman"/>
          <w:b/>
          <w:bCs/>
          <w:color w:val="1C1C1C"/>
          <w:kern w:val="0"/>
          <w:sz w:val="21"/>
          <w:szCs w:val="21"/>
          <w:bdr w:val="none" w:sz="0" w:space="0" w:color="auto" w:frame="1"/>
          <w:lang w:eastAsia="it-IT"/>
          <w14:ligatures w14:val="none"/>
        </w:rPr>
      </w:pPr>
    </w:p>
    <w:p w14:paraId="4DEDA923" w14:textId="0F354C08" w:rsidR="00F73C15" w:rsidRPr="00F73C15" w:rsidRDefault="00F73C15" w:rsidP="00F73C15">
      <w:pPr>
        <w:spacing w:after="0" w:line="300" w:lineRule="atLeast"/>
        <w:jc w:val="both"/>
        <w:textAlignment w:val="baseline"/>
        <w:rPr>
          <w:rFonts w:ascii="Source Sans Pro" w:eastAsia="Times New Roman" w:hAnsi="Source Sans Pro" w:cs="Times New Roman"/>
          <w:color w:val="333333"/>
          <w:kern w:val="0"/>
          <w:sz w:val="21"/>
          <w:szCs w:val="21"/>
          <w:lang w:eastAsia="it-IT"/>
          <w14:ligatures w14:val="none"/>
        </w:rPr>
      </w:pPr>
      <w:r w:rsidRPr="00F73C15">
        <w:rPr>
          <w:rFonts w:ascii="Source Sans Pro" w:eastAsia="Times New Roman" w:hAnsi="Source Sans Pro" w:cs="Times New Roman"/>
          <w:b/>
          <w:bCs/>
          <w:color w:val="1C1C1C"/>
          <w:kern w:val="0"/>
          <w:sz w:val="21"/>
          <w:szCs w:val="21"/>
          <w:bdr w:val="none" w:sz="0" w:space="0" w:color="auto" w:frame="1"/>
          <w:lang w:eastAsia="it-IT"/>
          <w14:ligatures w14:val="none"/>
        </w:rPr>
        <w:t>3) La norma indica al singolare sia il possesso del DVR sia la nomina del RSPP: per una azienda che abbia più unità operative e, quindi, potenzialmente più DVR e più RSPP, come deve interpretarsi la disposizione?</w:t>
      </w:r>
      <w:r w:rsidRPr="00F73C15">
        <w:rPr>
          <w:rFonts w:ascii="Source Sans Pro" w:eastAsia="Times New Roman" w:hAnsi="Source Sans Pro" w:cs="Times New Roman"/>
          <w:color w:val="333333"/>
          <w:kern w:val="0"/>
          <w:sz w:val="21"/>
          <w:szCs w:val="21"/>
          <w:lang w:eastAsia="it-IT"/>
          <w14:ligatures w14:val="none"/>
        </w:rPr>
        <w:br/>
        <w:t>Il rilascio della patente è soggetto al possesso, da parte del legale rappresentante o del lavoratore autonomo, dei requisiti indicati dall’art. 27, comma 1, del D.Lgs. n. 81/2008. Pertanto, qualora un’azienda abbia diverse unità produttive e quindi, eventualmente, siano individuabili diversi datori di lavoro, il possesso dei requisiti si deve intendere riferito all’intera azienda e quindi tutti i datori di lavoro dovranno aver nominato i RSPP e redatto i relativi DVR.</w:t>
      </w:r>
    </w:p>
    <w:p w14:paraId="317E81D3" w14:textId="77777777" w:rsidR="00F73C15" w:rsidRPr="00F73C15" w:rsidRDefault="00F73C15" w:rsidP="00F73C15">
      <w:pPr>
        <w:spacing w:after="0" w:line="300" w:lineRule="atLeast"/>
        <w:jc w:val="both"/>
        <w:textAlignment w:val="baseline"/>
        <w:rPr>
          <w:rFonts w:ascii="Source Sans Pro" w:eastAsia="Times New Roman" w:hAnsi="Source Sans Pro" w:cs="Times New Roman"/>
          <w:color w:val="333333"/>
          <w:kern w:val="0"/>
          <w:sz w:val="21"/>
          <w:szCs w:val="21"/>
          <w:lang w:eastAsia="it-IT"/>
          <w14:ligatures w14:val="none"/>
        </w:rPr>
      </w:pPr>
      <w:r w:rsidRPr="00F73C15">
        <w:rPr>
          <w:rFonts w:ascii="Source Sans Pro" w:eastAsia="Times New Roman" w:hAnsi="Source Sans Pro" w:cs="Times New Roman"/>
          <w:b/>
          <w:bCs/>
          <w:color w:val="1C1C1C"/>
          <w:kern w:val="0"/>
          <w:sz w:val="21"/>
          <w:szCs w:val="21"/>
          <w:bdr w:val="none" w:sz="0" w:space="0" w:color="auto" w:frame="1"/>
          <w:lang w:eastAsia="it-IT"/>
          <w14:ligatures w14:val="none"/>
        </w:rPr>
        <w:lastRenderedPageBreak/>
        <w:t>4) Il nuovo obbligo formativo (ad es. per il datore di lavoro) sconta sia l’entrata in vigore del nuovo accordo Stato Regioni, sia la scadenza del periodo entro il quale è obbligatorio iniziare ad applicare la nuova normativa. Occorrono, quindi, chiarimenti in merito all’oggetto della autocertificazione.</w:t>
      </w:r>
      <w:r w:rsidRPr="00F73C15">
        <w:rPr>
          <w:rFonts w:ascii="Source Sans Pro" w:eastAsia="Times New Roman" w:hAnsi="Source Sans Pro" w:cs="Times New Roman"/>
          <w:color w:val="333333"/>
          <w:kern w:val="0"/>
          <w:sz w:val="21"/>
          <w:szCs w:val="21"/>
          <w:lang w:eastAsia="it-IT"/>
          <w14:ligatures w14:val="none"/>
        </w:rPr>
        <w:br/>
        <w:t>La dichiarazione, per essere veritiera, deve tenere conto della normativa vigente alla data di presentazione della stessa e pertanto, in assenza del nuovo accordo Stato-Regioni, non potrà riguardare adempimenti che non è possibile ritenere obbligatori.</w:t>
      </w:r>
    </w:p>
    <w:p w14:paraId="4BD93445" w14:textId="77777777" w:rsidR="00690DEC" w:rsidRDefault="00690DEC"/>
    <w:sectPr w:rsidR="00690D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C15"/>
    <w:rsid w:val="00690DEC"/>
    <w:rsid w:val="00E63E35"/>
    <w:rsid w:val="00F7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1631C"/>
  <w15:chartTrackingRefBased/>
  <w15:docId w15:val="{719E0C85-05A8-4DF1-B4EF-1A1C787AA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73C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73C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73C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73C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73C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73C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73C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73C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73C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73C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73C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73C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73C1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73C1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73C1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73C1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73C1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73C1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73C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73C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73C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73C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73C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73C1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73C1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73C1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73C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73C1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73C15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F73C15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73C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1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572</Words>
  <Characters>3262</Characters>
  <Application>Microsoft Office Word</Application>
  <DocSecurity>0</DocSecurity>
  <Lines>27</Lines>
  <Paragraphs>7</Paragraphs>
  <ScaleCrop>false</ScaleCrop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ZAMPINI</dc:creator>
  <cp:keywords/>
  <dc:description/>
  <cp:lastModifiedBy>GIOVANNI ZAMPINI</cp:lastModifiedBy>
  <cp:revision>1</cp:revision>
  <dcterms:created xsi:type="dcterms:W3CDTF">2024-12-12T22:58:00Z</dcterms:created>
  <dcterms:modified xsi:type="dcterms:W3CDTF">2024-12-12T23:00:00Z</dcterms:modified>
</cp:coreProperties>
</file>